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tbl>
      <w:tblPr>
        <w:tblStyle w:val="3"/>
        <w:tblW w:w="8505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5"/>
        <w:gridCol w:w="4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tblHeader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</w:pPr>
            <w:bookmarkStart w:id="0" w:name="PO_part2Table8Area1"/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11"/>
                <w:szCs w:val="11"/>
              </w:rPr>
              <w:t> </w:t>
            </w:r>
            <w:bookmarkEnd w:id="0"/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</w:rPr>
              <w:t>年</w:t>
            </w:r>
            <w:bookmarkStart w:id="1" w:name="PO_part2Table8Area2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  <w:lang w:val="en-US" w:eastAsia="zh-CN" w:bidi="ar"/>
              </w:rPr>
              <w:t>红海湾经济开发区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11"/>
                <w:szCs w:val="11"/>
              </w:rPr>
              <w:t> </w:t>
            </w:r>
            <w:bookmarkEnd w:id="1"/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</w:rPr>
              <w:t>政府性基金预算支出表（按功能分类项级科目）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tblHeader/>
        </w:trPr>
        <w:tc>
          <w:tcPr>
            <w:tcW w:w="85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tblHeader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项   目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一、市（县、区）政府性基金支出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）城乡社区支出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672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     国有土地使用权出让收入及对应专项债务收入安排的支出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                                413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     城市基础设施配套费安排的支出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）交通运输支出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     港口建设费安排的支出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二、转移性支出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调出资金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kern w:val="0"/>
                <w:sz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三、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债务还本支出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五、债务发行费用支出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六、其他支出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469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     彩票公益金安排的支出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459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黑体" w:hAnsi="黑体" w:eastAsia="黑体" w:cs="宋体"/>
                <w:kern w:val="0"/>
                <w:sz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1791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739F1"/>
    <w:rsid w:val="28F81378"/>
    <w:rsid w:val="3D63216D"/>
    <w:rsid w:val="3DA062DC"/>
    <w:rsid w:val="420B681D"/>
    <w:rsid w:val="58423D80"/>
    <w:rsid w:val="624E112B"/>
    <w:rsid w:val="722B0B18"/>
    <w:rsid w:val="7609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/>
      <w:autoSpaceDE w:val="0"/>
      <w:autoSpaceDN w:val="0"/>
      <w:jc w:val="left"/>
      <w:textAlignment w:val="baseline"/>
    </w:pPr>
    <w:rPr>
      <w:rFonts w:ascii="宋体" w:hAnsi="宋体" w:eastAsia="宋体" w:cs="黑体"/>
      <w:color w:val="000000"/>
      <w:kern w:val="0"/>
      <w:sz w:val="24"/>
      <w:szCs w:val="24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2021-07-19T01:25:00Z</dcterms:created>
  <dc:creator>20200416-001</dc:creator>
  <cp:lastModifiedBy>家炫</cp:lastModifiedBy>
  <dcterms:modified xsi:type="dcterms:W3CDTF">2021-07-19T03:21:30Z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